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E4" w:rsidRPr="00B211E4" w:rsidRDefault="00B211E4" w:rsidP="00B211E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211E4">
        <w:rPr>
          <w:rFonts w:ascii="Verdana" w:eastAsia="Times New Roman" w:hAnsi="Verdana" w:cs="Times New Roman"/>
          <w:b/>
          <w:bCs/>
          <w:color w:val="000000"/>
          <w:kern w:val="36"/>
          <w:sz w:val="33"/>
          <w:szCs w:val="33"/>
          <w:shd w:val="clear" w:color="auto" w:fill="FFFFFF"/>
        </w:rPr>
        <w:t>07KATHMANDU1001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B211E4" w:rsidRPr="00B211E4" w:rsidTr="00B211E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11E4" w:rsidRPr="00B211E4" w:rsidRDefault="00B211E4" w:rsidP="00B211E4">
            <w:pPr>
              <w:spacing w:line="270" w:lineRule="atLeast"/>
              <w:rPr>
                <w:rFonts w:ascii="Verdana" w:eastAsia="Times New Roman" w:hAnsi="Verdana" w:cs="Times New Roman"/>
                <w:b/>
                <w:bCs/>
                <w:color w:val="888888"/>
                <w:sz w:val="18"/>
                <w:szCs w:val="18"/>
              </w:rPr>
            </w:pPr>
            <w:r w:rsidRPr="00B211E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11E4" w:rsidRPr="00B211E4" w:rsidRDefault="00B211E4" w:rsidP="00B211E4">
            <w:pPr>
              <w:spacing w:line="270" w:lineRule="atLeast"/>
              <w:rPr>
                <w:rFonts w:ascii="Verdana" w:eastAsia="Times New Roman" w:hAnsi="Verdana" w:cs="Times New Roman"/>
                <w:b/>
                <w:bCs/>
                <w:color w:val="888888"/>
                <w:sz w:val="18"/>
                <w:szCs w:val="18"/>
              </w:rPr>
            </w:pPr>
            <w:r w:rsidRPr="00B211E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11E4" w:rsidRPr="00B211E4" w:rsidRDefault="00B211E4" w:rsidP="00B211E4">
            <w:pPr>
              <w:spacing w:line="270" w:lineRule="atLeast"/>
              <w:rPr>
                <w:rFonts w:ascii="Verdana" w:eastAsia="Times New Roman" w:hAnsi="Verdana" w:cs="Times New Roman"/>
                <w:b/>
                <w:bCs/>
                <w:color w:val="888888"/>
                <w:sz w:val="18"/>
                <w:szCs w:val="18"/>
              </w:rPr>
            </w:pPr>
            <w:r w:rsidRPr="00B211E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11E4" w:rsidRPr="00B211E4" w:rsidRDefault="00B211E4" w:rsidP="00B211E4">
            <w:pPr>
              <w:spacing w:line="270" w:lineRule="atLeast"/>
              <w:rPr>
                <w:rFonts w:ascii="Verdana" w:eastAsia="Times New Roman" w:hAnsi="Verdana" w:cs="Times New Roman"/>
                <w:b/>
                <w:bCs/>
                <w:color w:val="888888"/>
                <w:sz w:val="18"/>
                <w:szCs w:val="18"/>
              </w:rPr>
            </w:pPr>
            <w:r w:rsidRPr="00B211E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211E4" w:rsidRPr="00B211E4" w:rsidRDefault="00B211E4" w:rsidP="00B211E4">
            <w:pPr>
              <w:spacing w:line="270" w:lineRule="atLeast"/>
              <w:rPr>
                <w:rFonts w:ascii="Verdana" w:eastAsia="Times New Roman" w:hAnsi="Verdana" w:cs="Times New Roman"/>
                <w:b/>
                <w:bCs/>
                <w:color w:val="888888"/>
                <w:sz w:val="18"/>
                <w:szCs w:val="18"/>
              </w:rPr>
            </w:pPr>
            <w:r w:rsidRPr="00B211E4">
              <w:rPr>
                <w:rFonts w:ascii="Verdana" w:eastAsia="Times New Roman" w:hAnsi="Verdana" w:cs="Times New Roman"/>
                <w:b/>
                <w:bCs/>
                <w:color w:val="888888"/>
                <w:sz w:val="18"/>
                <w:szCs w:val="18"/>
              </w:rPr>
              <w:t>Origin</w:t>
            </w:r>
          </w:p>
        </w:tc>
      </w:tr>
      <w:tr w:rsidR="00B211E4" w:rsidRPr="00B211E4" w:rsidTr="00B211E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11E4" w:rsidRPr="00B211E4" w:rsidRDefault="00B211E4" w:rsidP="00B211E4">
            <w:pPr>
              <w:rPr>
                <w:rFonts w:ascii="Times" w:eastAsia="Times New Roman" w:hAnsi="Times" w:cs="Times New Roman"/>
                <w:sz w:val="20"/>
                <w:szCs w:val="20"/>
              </w:rPr>
            </w:pPr>
            <w:r w:rsidRPr="00B211E4">
              <w:rPr>
                <w:rFonts w:ascii="Times" w:eastAsia="Times New Roman" w:hAnsi="Times" w:cs="Times New Roman"/>
                <w:sz w:val="20"/>
                <w:szCs w:val="20"/>
              </w:rPr>
              <w:t>07KATHMANDU1001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11E4" w:rsidRPr="00B211E4" w:rsidRDefault="00B211E4" w:rsidP="00B211E4">
            <w:pPr>
              <w:rPr>
                <w:rFonts w:ascii="Times" w:eastAsia="Times New Roman" w:hAnsi="Times" w:cs="Times New Roman"/>
                <w:sz w:val="20"/>
                <w:szCs w:val="20"/>
              </w:rPr>
            </w:pPr>
            <w:r w:rsidRPr="00B211E4">
              <w:rPr>
                <w:rFonts w:ascii="Times" w:eastAsia="Times New Roman" w:hAnsi="Times" w:cs="Times New Roman"/>
                <w:sz w:val="20"/>
                <w:szCs w:val="20"/>
              </w:rPr>
              <w:t>2007-05-18 11:58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11E4" w:rsidRPr="00B211E4" w:rsidRDefault="00B211E4" w:rsidP="00B211E4">
            <w:pPr>
              <w:rPr>
                <w:rFonts w:ascii="Times" w:eastAsia="Times New Roman" w:hAnsi="Times" w:cs="Times New Roman"/>
                <w:sz w:val="20"/>
                <w:szCs w:val="20"/>
              </w:rPr>
            </w:pPr>
            <w:r w:rsidRPr="00B211E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11E4" w:rsidRPr="00B211E4" w:rsidRDefault="00B211E4" w:rsidP="00B211E4">
            <w:pPr>
              <w:rPr>
                <w:rFonts w:ascii="Times" w:eastAsia="Times New Roman" w:hAnsi="Times" w:cs="Times New Roman"/>
                <w:sz w:val="20"/>
                <w:szCs w:val="20"/>
              </w:rPr>
            </w:pPr>
            <w:r w:rsidRPr="00B211E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211E4" w:rsidRPr="00B211E4" w:rsidRDefault="00B211E4" w:rsidP="00B211E4">
            <w:pPr>
              <w:rPr>
                <w:rFonts w:ascii="Times" w:eastAsia="Times New Roman" w:hAnsi="Times" w:cs="Times New Roman"/>
                <w:sz w:val="20"/>
                <w:szCs w:val="20"/>
              </w:rPr>
            </w:pPr>
            <w:r w:rsidRPr="00B211E4">
              <w:rPr>
                <w:rFonts w:ascii="Times" w:eastAsia="Times New Roman" w:hAnsi="Times" w:cs="Times New Roman"/>
                <w:sz w:val="20"/>
                <w:szCs w:val="20"/>
              </w:rPr>
              <w:t>Embassy Kathmandu</w:t>
            </w:r>
          </w:p>
        </w:tc>
      </w:tr>
    </w:tbl>
    <w:p w:rsidR="00B211E4" w:rsidRPr="00B211E4" w:rsidRDefault="00B211E4" w:rsidP="00B211E4">
      <w:pPr>
        <w:spacing w:after="360" w:line="255" w:lineRule="atLeast"/>
        <w:textAlignment w:val="baseline"/>
        <w:rPr>
          <w:rFonts w:ascii="Verdana" w:hAnsi="Verdana" w:cs="Times New Roman"/>
          <w:color w:val="000000"/>
          <w:sz w:val="21"/>
          <w:szCs w:val="21"/>
          <w:shd w:val="clear" w:color="auto" w:fill="FFFFFF"/>
        </w:rPr>
      </w:pPr>
      <w:r w:rsidRPr="00B211E4">
        <w:rPr>
          <w:rFonts w:ascii="Verdana" w:hAnsi="Verdana" w:cs="Times New Roman"/>
          <w:color w:val="000000"/>
          <w:sz w:val="21"/>
          <w:szCs w:val="21"/>
          <w:shd w:val="clear" w:color="auto" w:fill="FFFFFF"/>
        </w:rPr>
        <w:t> </w:t>
      </w:r>
    </w:p>
    <w:p w:rsidR="00B211E4" w:rsidRPr="00B211E4" w:rsidRDefault="00B211E4" w:rsidP="00B211E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211E4">
        <w:rPr>
          <w:rFonts w:ascii="Courier" w:hAnsi="Courier" w:cs="Courier"/>
          <w:color w:val="222222"/>
          <w:sz w:val="23"/>
          <w:szCs w:val="23"/>
          <w:shd w:val="clear" w:color="auto" w:fill="FFFFFF"/>
        </w:rPr>
        <w:t>VZCZCXRO9476 PP RUEHCI DE RUEHKT #1001/01 1381158 ZNY CCCCC ZZH P 181158Z MAY 07 FM AMEMBASSY KATHMANDU TO RUEHC/SECSTATE WASHDC PRIORITY 5987 INFO RUEHLO/AMEMBASSY LONDON PRIORITY 5348 RUEHKA/AMEMBASSY DHAKA PRIORITY 1271 RUEHLM/AMEMBASSY COLOMBO PRIORITY 6043 RUEHBJ/AMEMBASSY BEIJING PRIORITY 5734 RUEHIL/AMEMBASSY ISLAMABAD PRIORITY 4065 RUEHNE/AMEMBASSY NEW DELHI PRIORITY 1462 RUEHBY/AMEMBASSY CANBERRA PRIORITY 0386 RUEHOT/AMEMBASSY OTTAWA PRIORITY 0206 RUEHNY/AMEMBASSY OSLO PRIORITY 0280 RUEHCP/AMEMBASSY COPENHAGEN PRIORITY 0349 RUEHCI/AMCONSUL KOLKATA PRIORITY 3479 RHMFISS/CDR USPACOM HONOLULU HI PRIORITY RUEAIIA/CIA WASHDC PRIORITY RHEFDIA/DIA WASHDC PRIORITY RHEHNSC/NSC WASHDC PRIORITY RUEKJCS/SECDEF WASHDC PRIORITY RUEHGV/USMISSION GENEVA PRIORITY 1645 RUCNDT/USMISSION USUN NEW YORK PRIORITY 2680</w:t>
      </w:r>
    </w:p>
    <w:p w:rsidR="00B211E4" w:rsidRPr="00B211E4" w:rsidRDefault="00B211E4" w:rsidP="00B211E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211E4">
        <w:rPr>
          <w:rFonts w:ascii="Courier" w:hAnsi="Courier" w:cs="Courier"/>
          <w:color w:val="222222"/>
          <w:sz w:val="23"/>
          <w:szCs w:val="23"/>
          <w:shd w:val="clear" w:color="auto" w:fill="FFFFFF"/>
        </w:rPr>
        <w:t xml:space="preserve">              C O N F I D E N T I A L SECTION 01 OF 03 KATHMANDU 001001   SIPDIS   SIPDIS   E.O. 12958: DECL: 05/16/2017 TAGS:               PREF               PHUM               PREL               PGOV               BT               IN               NP  SUBJECT: BHUTANESE REFUGEES WORRY ABOUT ONGOING DISCRIMINATION IN BHUTAN   REF: A. NEW DELHI 1640                 </w:t>
      </w:r>
      <w:hyperlink r:id="rId5" w:anchor="parB"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B. NEW DELHI 2229   Classified By: Ambassador James F. Moriarty for reasons 1.4(b/d).   Summary -------                 </w:t>
      </w:r>
      <w:hyperlink r:id="rId6" w:anchor="par1"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1. (C) Recent press reports in Nepal and India have concluded that 70,000 - 80,000 Nepali-ethnic Bhutanese, called Lhotsampa, were not permitted to participate in the mock elections held in Bhutan in April.  The reports also suggested that these people might be subject to eviction from Bhutan.  Government statistics from Bhutan suggest that roughly 80,000 people are living in Bhutan as non-citizens. Refugee community </w:t>
      </w:r>
      <w:r w:rsidRPr="00B211E4">
        <w:rPr>
          <w:rFonts w:ascii="Courier" w:hAnsi="Courier" w:cs="Courier"/>
          <w:color w:val="222222"/>
          <w:sz w:val="23"/>
          <w:szCs w:val="23"/>
          <w:shd w:val="clear" w:color="auto" w:fill="FFFFFF"/>
        </w:rPr>
        <w:lastRenderedPageBreak/>
        <w:t xml:space="preserve">leaders Ratan Gazmere, Pingala Dhital and S.B. Subba told RefCoord May 15 and 16 that these non-citizens were, in many cases, Lhotsampa who were disenfranchised as a result of ongoing government discrimination.  They also believed that most Lhotsampas had not been able to participate in Bhutan's mock elections. However, the refugee leaders did not anticipate the Royal Government of Bhutan (RGOB) would forcibly expel mass numbers of Lhotsampas.  Gazmere suggested that the RGOB understood the risk of attempting another mass expulsion similar to 1990-1993, but thought the RGOB would continue to make life for Lhotsampas difficult to encourage them to voluntarily depart.   Media Summary and Human Rights Watch Report -------------------------------------------                 </w:t>
      </w:r>
      <w:hyperlink r:id="rId7" w:anchor="par2"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2. (SBU) Journalists in Nepal and India have claimed in recent press reports that the Royal Government of Bhutan (RGOB) was preparing to evict 80,000 Nepali-ethnic Bhutanese, or Lhotsampas, who had been denied the right to vote in Bhutan's first mock election held in April.  The press reports drew a direct link between third-country resettlement offered to the Bhutanese refugees in Nepal and the RGOB's intention to evict more Lhotsampa.  A Human Rights Watch (HRW) report released May 17 in Kathmandu concluded that Lhotsampa who were not evicted in the 1990s continued to face "persistent discrimination and ongoing threats to their citizenship status."  HRW Refugee Policy Director Bill Frelick told RefCoord May 18 that he had interviewed several Nepali-ethnic Lhotsampa living in Bhutan in November 2006 for the report.  Frelick said that these Lhotsampa had felt constantly in danger of losing their citizenship or legal status in Bhutan.  According to the HRW report, one Lhotsampa said "Everybody knows they are being discriminated against, but they don't dare to raise their voice, because they think the consequences will be the same as for the people who have already left."   RGOB Census -- 80,000 Non-Citizens in Bhutan? ---------------------------------------------                 </w:t>
      </w:r>
      <w:hyperlink r:id="rId8" w:anchor="par3"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3. (C) According to Bhutan's Population and Census Commission, the total population of Bhutanese citizens as of May 31, 2005 was 552,996 people.  The same commission announced in May 2006 that the total population of Bhutan, including foreigners, as of April 27, 2006, was 634,972 persons.  The difference between the number of citizens and the total number of people living in Bhutan, therefore, is roughly 80,000.  Refugee community leader Ratan Gazmere told RefCoord May 15 that these 80,000 people included perhaps 1,000 - 2,000 expatriates working for international organizations in Bhutan.  The vast majority, however, were ethnic minorities, such as the Nepali-ethnic Lhotsampa, whom the RGOB considered non-citizens.  Gazmere opined that, in many cases, those classified as non-citizens had actually held citizenship at one time, but were disenfranchised as a result of government discrimination.  (Note:  According to   KATHMANDU 00001001  002 OF 003   the 1951 UN Convention on Refugees, any non-national person who is forced out of his or her "habitual residence" can be considered a refugee; he or she does not have to have had citizenship.  End Note.)   Government Census Discriminates Against Lhotsampa --------------------------------------------- ----                 </w:t>
      </w:r>
      <w:hyperlink r:id="rId9" w:anchor="par4"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4. (C) Gazmere also informed RefCoord that the RGOB continued to conduct census exercises every year.  The Lhotsampa referred to these censuses as "kalo," or "black" censuses because they were conducted only in Lhotsampa communities, he said.  Human Rights Organization of Bhutan (HUROB) Chairman S.B. Subba, whose wife remains inside Bhutan, reported that the RGOB-administered census continued to place Lhotsampa in seven categories of citizenship: F1 -- genuine Bhutanese; F2 -- returned migrants; F3 -- absentees (those not available at the time of the census); F4 -- non-national women married to Bhutanese men; F5 -- non-national men married to Bhutanese women; F6 -- foreign-born children legally adopted by Bhutanese; and F7 -- non-nationals (migrants/illegal settlers).  Gazmere said that his wife's family, who had all remained in Bhutan as F1 citizens, were placed in several categories in the 2006 census.  Gazmere's brother-in-law, who the RGOB had terminated from his position at the Central Bank without cause, was placed in category F7 and was now considered a non-national.  Gazmere worried that the RGOB might force his wife's family out of Bhutan as a result.  He questioned whether the RGOB disenfranchised his brother-in-law because of Gazmere's status as a refugee in Nepal.  He stated he knew of 200 people from his administrative block in Samchi District of Bhutan who were categorized in F4, F5, or F7 in the most recent census.   Difficulties Faced By Non-F1 Bhutanese --------------------------------------                 </w:t>
      </w:r>
      <w:hyperlink r:id="rId10" w:anchor="par5"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5. (C) According to Subba, any person in Bhutan now categorized as a non-F1 Bhutanese is refused issuance of a new identity, or citizenship, card.  These people also have great difficulty obtaining a No Objection Certificate (NOC), which is required to register their children in public secondary or post-secondary schools, move freely in the country, buy or sell lend, or obtain government employment. Subba also noted that his wife had reported many instances of Lhotsampa who were refused NOCs because they had relatives inside the refugee camps.  Another refugee community leader, Pingala Dhital, whose family remained in Bhutan, reported to RefCoord that her family had been unable to obtain NOCs, but had been able to register their children in primary school. All of the refugee leaders suggested that most Lhotsampa inside Bhutan now lived as non-F1 Bhutanese and, therefore, were not issued voter ID cards and were not able to participate in the mock elections held in April.  (Note: The second round of mock elections are scheduled for May 28.  End Note.)   But Will Discrimination Result In Evictions? --------------------------------------------                 </w:t>
      </w:r>
      <w:hyperlink r:id="rId11" w:anchor="par6"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6. (C) Gazmere believed that evictions were already happening inside Bhutan.  He did not, however, expect expulsions would happen on a mass scale as in 1990-1993 because the RGOB understood that the international community was paying more attention.  He expected that the RGOB would continue to make life difficult for Nepali-ethnic Lhotsampa to encourage them to voluntarily depart the country for more favorable living conditions abroad.  Gazmere claimed that, in his visit to the refugee camps in early May, he had met a woman with two children who had recently left Bhutan because her children could not access education facilities.  UNHCR Durable Solutions Officer Kim Roberson said May 17 that refugees in the camps were hearing from relatives inside Bhutan that RGOB   KATHMANDU 00001001  003 OF 003   officials were telling them to depart the country.  However, according to both Roberson and Nepal Home Ministry official Shankar Koirala on May 17, no new Bhutanese have arrived from Bhutan.  Koirala noted that the GON had closed down the refugee screening post at the border and was not currently accepting new refugee registrations.   Comment -------                 </w:t>
      </w:r>
      <w:hyperlink r:id="rId12" w:anchor="par7"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7. (C) Enough accounts have trickled out of Bhutan to indicate that Nepali-ethnic Lhotsampa inside Bhutan, no matter what their status, continue to face government discrimination and possible loss of citizenship.  However, it is unlikely that the RGOB intends at this point to force people to leave the country as it did in the 1990s.  RGOB Prime Minister Wangchuk told A/S Boucher that "we did not want another 1990-1993." (Ref A)  He also said, however, that "our citizenship rules are very clear.  According to our census, there are 125,000 foreign workers in Bhutan, many of whom are illegal.  We have not taken any action against them."  These words bring little confidence, considering ongoing discrimination inside Bhutan, that the RGOB would not take action against them in the future.  As refugee leaders and Human Rights Watch have suggested, what is more likely is that the RGOB will continue systematic ethnic discrimination in the hopes that these people will depart Bhutan voluntarily and in a trickle rather than a wave.  Bhutanese Ambassador Dago Tsering recently suggested that democracy in Bhutan might bring even less tolerance for Nepali-ethnic groups, including for repatriation of the refugees (Ref B).  In addition to focusing on concerns about a possible second wave of expulsions, we also should begin to focus on ongoing discrimination against ethnic minorities inside Bhutan.                 </w:t>
      </w:r>
      <w:hyperlink r:id="rId13" w:anchor="par8" w:history="1">
        <w:r w:rsidRPr="00B211E4">
          <w:rPr>
            <w:rFonts w:ascii="Courier" w:hAnsi="Courier" w:cs="Courier"/>
            <w:color w:val="0066CC"/>
            <w:sz w:val="23"/>
            <w:szCs w:val="23"/>
            <w:u w:val="single"/>
            <w:bdr w:val="none" w:sz="0" w:space="0" w:color="auto" w:frame="1"/>
          </w:rPr>
          <w:t>Â¶</w:t>
        </w:r>
      </w:hyperlink>
      <w:r w:rsidRPr="00B211E4">
        <w:rPr>
          <w:rFonts w:ascii="Courier" w:hAnsi="Courier" w:cs="Courier"/>
          <w:color w:val="222222"/>
          <w:sz w:val="23"/>
          <w:szCs w:val="23"/>
          <w:shd w:val="clear" w:color="auto" w:fill="FFFFFF"/>
        </w:rPr>
        <w:t xml:space="preserve">               8. (U) This cable has been coordinated with Embassy New Delhi.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E4"/>
    <w:rsid w:val="00B211E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1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E4"/>
    <w:rPr>
      <w:rFonts w:ascii="Times" w:hAnsi="Times"/>
      <w:b/>
      <w:bCs/>
      <w:kern w:val="36"/>
      <w:sz w:val="48"/>
      <w:szCs w:val="48"/>
    </w:rPr>
  </w:style>
  <w:style w:type="paragraph" w:styleId="NormalWeb">
    <w:name w:val="Normal (Web)"/>
    <w:basedOn w:val="Normal"/>
    <w:uiPriority w:val="99"/>
    <w:semiHidden/>
    <w:unhideWhenUsed/>
    <w:rsid w:val="00B211E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21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11E4"/>
    <w:rPr>
      <w:rFonts w:ascii="Courier" w:hAnsi="Courier" w:cs="Courier"/>
      <w:sz w:val="20"/>
      <w:szCs w:val="20"/>
    </w:rPr>
  </w:style>
  <w:style w:type="character" w:styleId="Hyperlink">
    <w:name w:val="Hyperlink"/>
    <w:basedOn w:val="DefaultParagraphFont"/>
    <w:uiPriority w:val="99"/>
    <w:semiHidden/>
    <w:unhideWhenUsed/>
    <w:rsid w:val="00B211E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11E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E4"/>
    <w:rPr>
      <w:rFonts w:ascii="Times" w:hAnsi="Times"/>
      <w:b/>
      <w:bCs/>
      <w:kern w:val="36"/>
      <w:sz w:val="48"/>
      <w:szCs w:val="48"/>
    </w:rPr>
  </w:style>
  <w:style w:type="paragraph" w:styleId="NormalWeb">
    <w:name w:val="Normal (Web)"/>
    <w:basedOn w:val="Normal"/>
    <w:uiPriority w:val="99"/>
    <w:semiHidden/>
    <w:unhideWhenUsed/>
    <w:rsid w:val="00B211E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21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211E4"/>
    <w:rPr>
      <w:rFonts w:ascii="Courier" w:hAnsi="Courier" w:cs="Courier"/>
      <w:sz w:val="20"/>
      <w:szCs w:val="20"/>
    </w:rPr>
  </w:style>
  <w:style w:type="character" w:styleId="Hyperlink">
    <w:name w:val="Hyperlink"/>
    <w:basedOn w:val="DefaultParagraphFont"/>
    <w:uiPriority w:val="99"/>
    <w:semiHidden/>
    <w:unhideWhenUsed/>
    <w:rsid w:val="00B21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20812">
      <w:bodyDiv w:val="1"/>
      <w:marLeft w:val="0"/>
      <w:marRight w:val="0"/>
      <w:marTop w:val="0"/>
      <w:marBottom w:val="0"/>
      <w:divBdr>
        <w:top w:val="none" w:sz="0" w:space="0" w:color="auto"/>
        <w:left w:val="none" w:sz="0" w:space="0" w:color="auto"/>
        <w:bottom w:val="none" w:sz="0" w:space="0" w:color="auto"/>
        <w:right w:val="none" w:sz="0" w:space="0" w:color="auto"/>
      </w:divBdr>
      <w:divsChild>
        <w:div w:id="112508027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1001" TargetMode="External"/><Relationship Id="rId12" Type="http://schemas.openxmlformats.org/officeDocument/2006/relationships/hyperlink" Target="http://www.bhutan-research.org/us-diplomatic-cables-on-bhutan/07kathmandu1001" TargetMode="External"/><Relationship Id="rId13" Type="http://schemas.openxmlformats.org/officeDocument/2006/relationships/hyperlink" Target="http://www.bhutan-research.org/us-diplomatic-cables-on-bhutan/07kathmandu1001"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1001" TargetMode="External"/><Relationship Id="rId6" Type="http://schemas.openxmlformats.org/officeDocument/2006/relationships/hyperlink" Target="http://www.bhutan-research.org/us-diplomatic-cables-on-bhutan/07kathmandu1001" TargetMode="External"/><Relationship Id="rId7" Type="http://schemas.openxmlformats.org/officeDocument/2006/relationships/hyperlink" Target="http://www.bhutan-research.org/us-diplomatic-cables-on-bhutan/07kathmandu1001" TargetMode="External"/><Relationship Id="rId8" Type="http://schemas.openxmlformats.org/officeDocument/2006/relationships/hyperlink" Target="http://www.bhutan-research.org/us-diplomatic-cables-on-bhutan/07kathmandu1001" TargetMode="External"/><Relationship Id="rId9" Type="http://schemas.openxmlformats.org/officeDocument/2006/relationships/hyperlink" Target="http://www.bhutan-research.org/us-diplomatic-cables-on-bhutan/07kathmandu1001" TargetMode="External"/><Relationship Id="rId10" Type="http://schemas.openxmlformats.org/officeDocument/2006/relationships/hyperlink" Target="http://www.bhutan-research.org/us-diplomatic-cables-on-bhutan/07kathmandu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9984</Characters>
  <Application>Microsoft Macintosh Word</Application>
  <DocSecurity>0</DocSecurity>
  <Lines>83</Lines>
  <Paragraphs>23</Paragraphs>
  <ScaleCrop>false</ScaleCrop>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2011-10-01T00:41:00Z</dcterms:created>
  <dcterms:modified xsi:type="dcterms:W3CDTF">2011-10-01T00:41:00Z</dcterms:modified>
</cp:coreProperties>
</file>